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42E3AC26"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31</w:t>
      </w:r>
      <w:r w:rsidRPr="005159C2">
        <w:rPr>
          <w:rFonts w:ascii="Arial" w:hAnsi="Arial"/>
          <w:b/>
          <w:i/>
          <w:noProof/>
          <w:sz w:val="28"/>
        </w:rPr>
        <w:tab/>
      </w:r>
      <w:r w:rsidR="007206C0" w:rsidRPr="007206C0">
        <w:rPr>
          <w:rFonts w:ascii="Arial" w:hAnsi="Arial"/>
          <w:b/>
          <w:noProof/>
          <w:sz w:val="24"/>
          <w:szCs w:val="24"/>
        </w:rPr>
        <w:t>R3-</w:t>
      </w:r>
      <w:r w:rsidR="006F4F4A">
        <w:rPr>
          <w:rFonts w:ascii="Arial" w:hAnsi="Arial"/>
          <w:b/>
          <w:noProof/>
          <w:sz w:val="24"/>
          <w:szCs w:val="24"/>
          <w:lang w:eastAsia="zh-CN"/>
        </w:rPr>
        <w:t>260278</w:t>
      </w:r>
    </w:p>
    <w:p w14:paraId="7B0E2FAD" w14:textId="185726C8" w:rsidR="00AF4F29" w:rsidRPr="005159C2" w:rsidRDefault="0074268C" w:rsidP="00AF4F29">
      <w:pPr>
        <w:spacing w:after="120"/>
        <w:outlineLvl w:val="0"/>
        <w:rPr>
          <w:rFonts w:ascii="Arial" w:hAnsi="Arial"/>
          <w:b/>
          <w:noProof/>
          <w:sz w:val="24"/>
        </w:rPr>
      </w:pPr>
      <w:r w:rsidRPr="00360889">
        <w:rPr>
          <w:rFonts w:ascii="Arial" w:eastAsiaTheme="minorEastAsia" w:hAnsi="Arial" w:cs="Arial"/>
          <w:b/>
          <w:sz w:val="24"/>
          <w:szCs w:val="24"/>
        </w:rPr>
        <w:t>Gothenburg, Sweden, 9 – 13 Feb</w:t>
      </w:r>
      <w:r w:rsidR="00AB7C16">
        <w:rPr>
          <w:rFonts w:ascii="Arial" w:eastAsiaTheme="minorEastAsia" w:hAnsi="Arial" w:cs="Arial"/>
          <w:b/>
          <w:sz w:val="24"/>
          <w:szCs w:val="24"/>
        </w:rPr>
        <w:t>ruary</w:t>
      </w:r>
      <w:r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20DFCD1" w:rsidR="00AF4F29" w:rsidRPr="005159C2" w:rsidRDefault="00AF4F29" w:rsidP="007675E3">
            <w:pPr>
              <w:spacing w:after="0"/>
              <w:jc w:val="right"/>
              <w:rPr>
                <w:rFonts w:ascii="Arial" w:hAnsi="Arial"/>
                <w:b/>
                <w:noProof/>
                <w:sz w:val="28"/>
              </w:rPr>
            </w:pPr>
            <w:r>
              <w:rPr>
                <w:rFonts w:ascii="Arial" w:hAnsi="Arial"/>
                <w:b/>
                <w:noProof/>
                <w:sz w:val="28"/>
              </w:rPr>
              <w:t>38.</w:t>
            </w:r>
            <w:r w:rsidR="005D2E9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2449C21" w:rsidR="00AF4F29" w:rsidRPr="005159C2" w:rsidRDefault="00D94D3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E5955F5"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74268C">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7F37A47" w:rsidR="00AF4F29" w:rsidRPr="005159C2" w:rsidRDefault="00AF4F29" w:rsidP="007675E3">
            <w:pPr>
              <w:spacing w:after="0"/>
              <w:ind w:left="100"/>
              <w:rPr>
                <w:rFonts w:ascii="Arial" w:hAnsi="Arial"/>
                <w:noProof/>
              </w:rPr>
            </w:pPr>
            <w:r w:rsidRPr="005F3E2D">
              <w:rPr>
                <w:rFonts w:ascii="Arial" w:hAnsi="Arial"/>
              </w:rPr>
              <w:t>Huawei</w:t>
            </w:r>
            <w:r w:rsidR="006F4F4A">
              <w:rPr>
                <w:rFonts w:ascii="Arial" w:hAnsi="Arial"/>
              </w:rPr>
              <w:t>, CATT</w:t>
            </w:r>
            <w:bookmarkStart w:id="0" w:name="_GoBack"/>
            <w:bookmarkEnd w:id="0"/>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277812C" w:rsidR="00AF4F29" w:rsidRPr="005159C2" w:rsidRDefault="0074268C" w:rsidP="007675E3">
            <w:pPr>
              <w:spacing w:after="0"/>
              <w:ind w:left="100"/>
              <w:rPr>
                <w:rFonts w:ascii="Arial" w:hAnsi="Arial"/>
                <w:noProof/>
              </w:rPr>
            </w:pPr>
            <w:r>
              <w:rPr>
                <w:rFonts w:ascii="Arial" w:hAnsi="Arial"/>
              </w:rPr>
              <w:t>2026-01-</w:t>
            </w:r>
            <w:r w:rsidR="00211C4E">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7BA6B52"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 conclusion and ensure correct execution of security verification procedures at AMF, corresponding </w:t>
            </w:r>
            <w:r w:rsidR="005D2E97">
              <w:rPr>
                <w:rFonts w:ascii="Arial" w:hAnsi="Arial" w:hint="eastAsia"/>
                <w:noProof/>
                <w:lang w:eastAsia="zh-CN"/>
              </w:rPr>
              <w:t>stage</w:t>
            </w:r>
            <w:r w:rsidR="001B4740">
              <w:rPr>
                <w:rFonts w:ascii="Arial" w:hAnsi="Arial"/>
                <w:noProof/>
                <w:lang w:eastAsia="zh-CN"/>
              </w:rPr>
              <w:t xml:space="preserve"> </w:t>
            </w:r>
            <w:r w:rsidR="005D2E97">
              <w:rPr>
                <w:rFonts w:ascii="Arial" w:hAnsi="Arial"/>
                <w:noProof/>
                <w:lang w:eastAsia="zh-CN"/>
              </w:rPr>
              <w:t>2 decription</w:t>
            </w:r>
            <w:r>
              <w:rPr>
                <w:rFonts w:ascii="Arial" w:hAnsi="Arial"/>
                <w:noProof/>
                <w:lang w:eastAsia="zh-CN"/>
              </w:rPr>
              <w:t xml:space="preserve"> </w:t>
            </w:r>
            <w:r w:rsidR="00761C5B">
              <w:rPr>
                <w:rFonts w:ascii="Arial" w:hAnsi="Arial"/>
                <w:noProof/>
                <w:lang w:eastAsia="zh-CN"/>
              </w:rPr>
              <w:t>is</w:t>
            </w:r>
            <w:r>
              <w:rPr>
                <w:rFonts w:ascii="Arial" w:hAnsi="Arial"/>
                <w:noProof/>
                <w:lang w:eastAsia="zh-CN"/>
              </w:rPr>
              <w:t xml:space="preserve"> required in TS 38.</w:t>
            </w:r>
            <w:r w:rsidR="005D2E97">
              <w:rPr>
                <w:rFonts w:ascii="Arial" w:hAnsi="Arial"/>
                <w:noProof/>
                <w:lang w:eastAsia="zh-CN"/>
              </w:rPr>
              <w:t>300</w:t>
            </w:r>
            <w:r>
              <w:rPr>
                <w:rFonts w:ascii="Arial" w:hAnsi="Arial"/>
                <w:noProof/>
                <w:lang w:eastAsia="zh-CN"/>
              </w:rPr>
              <w:t xml:space="preserve"> to enable AMF be aware of the NR Femto node.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18A82E" w14:textId="32E5CD84" w:rsidR="00AF4F29" w:rsidRDefault="002245F2" w:rsidP="00A91DBA">
            <w:pPr>
              <w:rPr>
                <w:rFonts w:ascii="Arial" w:hAnsi="Arial"/>
                <w:noProof/>
              </w:rPr>
            </w:pPr>
            <w:r>
              <w:rPr>
                <w:rFonts w:ascii="Arial" w:hAnsi="Arial" w:hint="eastAsia"/>
                <w:noProof/>
                <w:lang w:eastAsia="zh-CN"/>
              </w:rPr>
              <w:t>Clarify</w:t>
            </w:r>
            <w:r>
              <w:rPr>
                <w:rFonts w:ascii="Arial" w:hAnsi="Arial"/>
                <w:noProof/>
              </w:rPr>
              <w:t xml:space="preserve"> in 4.10.2.2 that how can the </w:t>
            </w:r>
            <w:r w:rsidRPr="00A91DBA">
              <w:rPr>
                <w:rFonts w:ascii="Arial" w:hAnsi="Arial"/>
                <w:noProof/>
              </w:rPr>
              <w:t xml:space="preserve">AMF </w:t>
            </w:r>
            <w:r>
              <w:rPr>
                <w:rFonts w:ascii="Arial" w:hAnsi="Arial"/>
                <w:noProof/>
              </w:rPr>
              <w:t xml:space="preserve">recognize the NR femto in case of direct conneciton between NR femto and </w:t>
            </w:r>
            <w:r>
              <w:rPr>
                <w:rFonts w:ascii="Arial" w:hAnsi="Arial" w:hint="eastAsia"/>
                <w:noProof/>
                <w:lang w:eastAsia="zh-CN"/>
              </w:rPr>
              <w:t>AMF</w:t>
            </w:r>
            <w:r>
              <w:rPr>
                <w:rFonts w:ascii="Arial" w:hAnsi="Arial"/>
                <w:noProof/>
              </w:rPr>
              <w:t xml:space="preserve">. </w:t>
            </w:r>
          </w:p>
          <w:p w14:paraId="0D6DEDFC" w14:textId="77777777" w:rsidR="002245F2" w:rsidRPr="005159C2" w:rsidRDefault="002245F2" w:rsidP="002245F2">
            <w:pPr>
              <w:spacing w:afterLines="50" w:after="120"/>
              <w:jc w:val="both"/>
              <w:rPr>
                <w:rFonts w:ascii="Arial" w:hAnsi="Arial"/>
                <w:b/>
                <w:noProof/>
                <w:sz w:val="21"/>
              </w:rPr>
            </w:pPr>
            <w:r w:rsidRPr="005159C2">
              <w:rPr>
                <w:rFonts w:ascii="Arial" w:hAnsi="Arial"/>
                <w:b/>
                <w:noProof/>
                <w:sz w:val="21"/>
              </w:rPr>
              <w:t>Impact Analysis:</w:t>
            </w:r>
          </w:p>
          <w:p w14:paraId="4D4F9BC9" w14:textId="77777777" w:rsidR="002245F2" w:rsidRPr="00B64C94" w:rsidRDefault="002245F2" w:rsidP="002245F2">
            <w:pPr>
              <w:spacing w:after="0"/>
              <w:rPr>
                <w:rFonts w:ascii="Arial" w:hAnsi="Arial"/>
              </w:rPr>
            </w:pPr>
            <w:r w:rsidRPr="00B64C94">
              <w:rPr>
                <w:rFonts w:ascii="Arial" w:hAnsi="Arial"/>
              </w:rPr>
              <w:t xml:space="preserve">Impact assessment towards the previous version of the specification (same release): </w:t>
            </w:r>
          </w:p>
          <w:p w14:paraId="0218538D" w14:textId="77777777" w:rsidR="002245F2" w:rsidRPr="004B5E4B" w:rsidRDefault="002245F2" w:rsidP="002245F2">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7A4A006A" w:rsidR="002245F2" w:rsidRPr="00A91DBA" w:rsidRDefault="002245F2" w:rsidP="002245F2">
            <w:pPr>
              <w:rPr>
                <w:rFonts w:ascii="Arial" w:hAnsi="Arial"/>
                <w:noProof/>
              </w:rPr>
            </w:pPr>
            <w:r w:rsidRPr="00043C36">
              <w:rPr>
                <w:rFonts w:ascii="Arial" w:hAnsi="Arial" w:cs="Arial"/>
                <w:szCs w:val="21"/>
              </w:rPr>
              <w:t xml:space="preserve">This CR has impact on the functional point of view. The impact can be considered isolated because the change only affects the </w:t>
            </w:r>
            <w:r w:rsidRPr="00043C36">
              <w:rPr>
                <w:rFonts w:ascii="Arial" w:hAnsi="Arial" w:cs="Arial"/>
                <w:szCs w:val="21"/>
                <w:lang w:eastAsia="zh-CN"/>
              </w:rPr>
              <w:t>security</w:t>
            </w:r>
            <w:r w:rsidRPr="00043C36">
              <w:rPr>
                <w:rFonts w:ascii="Arial" w:hAnsi="Arial" w:cs="Arial"/>
                <w:szCs w:val="21"/>
              </w:rPr>
              <w:t xml:space="preserve"> </w:t>
            </w:r>
            <w:r w:rsidRPr="00043C36">
              <w:rPr>
                <w:rFonts w:ascii="Arial" w:hAnsi="Arial" w:cs="Arial"/>
                <w:szCs w:val="21"/>
                <w:lang w:eastAsia="zh-CN"/>
              </w:rPr>
              <w:t>validation</w:t>
            </w:r>
            <w:r w:rsidRPr="00043C36">
              <w:rPr>
                <w:rFonts w:ascii="Arial" w:hAnsi="Arial" w:cs="Arial"/>
                <w:szCs w:val="21"/>
              </w:rPr>
              <w:t xml:space="preserve"> </w:t>
            </w:r>
            <w:proofErr w:type="spellStart"/>
            <w:r w:rsidRPr="00043C36">
              <w:rPr>
                <w:rFonts w:ascii="Arial" w:hAnsi="Arial" w:cs="Arial"/>
                <w:szCs w:val="21"/>
                <w:lang w:eastAsia="zh-CN"/>
              </w:rPr>
              <w:t>regartding</w:t>
            </w:r>
            <w:proofErr w:type="spellEnd"/>
            <w:r w:rsidRPr="00043C36">
              <w:rPr>
                <w:rFonts w:ascii="Arial" w:hAnsi="Arial" w:cs="Arial"/>
                <w:szCs w:val="21"/>
              </w:rPr>
              <w:t xml:space="preserve"> </w:t>
            </w:r>
            <w:r w:rsidRPr="00043C36">
              <w:rPr>
                <w:rFonts w:ascii="Arial" w:hAnsi="Arial" w:cs="Arial"/>
                <w:szCs w:val="21"/>
                <w:lang w:eastAsia="zh-CN"/>
              </w:rPr>
              <w:t>the</w:t>
            </w:r>
            <w:r w:rsidRPr="00043C36">
              <w:rPr>
                <w:rFonts w:ascii="Arial" w:hAnsi="Arial" w:cs="Arial"/>
                <w:szCs w:val="21"/>
              </w:rPr>
              <w:t xml:space="preserve"> </w:t>
            </w:r>
            <w:r w:rsidRPr="00043C36">
              <w:rPr>
                <w:rFonts w:ascii="Arial" w:hAnsi="Arial" w:cs="Arial"/>
                <w:szCs w:val="21"/>
                <w:lang w:eastAsia="zh-CN"/>
              </w:rPr>
              <w:t>NR</w:t>
            </w:r>
            <w:r w:rsidRPr="00043C36">
              <w:rPr>
                <w:rFonts w:ascii="Arial" w:hAnsi="Arial" w:cs="Arial"/>
                <w:szCs w:val="21"/>
              </w:rPr>
              <w:t xml:space="preserve"> </w:t>
            </w:r>
            <w:proofErr w:type="spellStart"/>
            <w:r w:rsidRPr="00043C36">
              <w:rPr>
                <w:rFonts w:ascii="Arial" w:hAnsi="Arial" w:cs="Arial"/>
                <w:szCs w:val="21"/>
                <w:lang w:eastAsia="zh-CN"/>
              </w:rPr>
              <w:t>femto</w:t>
            </w:r>
            <w:proofErr w:type="spellEnd"/>
            <w:r w:rsidRPr="00043C36">
              <w:rPr>
                <w:rFonts w:ascii="Arial" w:hAnsi="Arial" w:cs="Arial"/>
                <w:szCs w:val="21"/>
              </w:rPr>
              <w:t xml:space="preserve"> </w:t>
            </w:r>
            <w:r w:rsidRPr="00043C36">
              <w:rPr>
                <w:rFonts w:ascii="Arial" w:hAnsi="Arial" w:cs="Arial"/>
                <w:szCs w:val="21"/>
                <w:lang w:eastAsia="zh-CN"/>
              </w:rPr>
              <w:t>at</w:t>
            </w:r>
            <w:r w:rsidRPr="00043C36">
              <w:rPr>
                <w:rFonts w:ascii="Arial" w:hAnsi="Arial" w:cs="Arial"/>
                <w:szCs w:val="21"/>
              </w:rPr>
              <w:t xml:space="preserve"> </w:t>
            </w:r>
            <w:r w:rsidRPr="00043C36">
              <w:rPr>
                <w:rFonts w:ascii="Arial" w:hAnsi="Arial" w:cs="Arial"/>
                <w:szCs w:val="21"/>
                <w:lang w:eastAsia="zh-CN"/>
              </w:rPr>
              <w:t>AMF</w:t>
            </w:r>
            <w:r w:rsidRPr="00043C36">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1F8A154"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2245F2">
              <w:rPr>
                <w:rFonts w:ascii="Arial" w:hAnsi="Arial"/>
                <w:noProof/>
              </w:rPr>
              <w:t xml:space="preserve">AMF will not perform </w:t>
            </w:r>
            <w:r>
              <w:rPr>
                <w:rFonts w:ascii="Arial" w:hAnsi="Arial"/>
                <w:noProof/>
              </w:rPr>
              <w:t xml:space="preserve">security verification </w:t>
            </w:r>
            <w:r w:rsidR="002245F2">
              <w:rPr>
                <w:rFonts w:ascii="Arial" w:hAnsi="Arial"/>
                <w:noProof/>
              </w:rPr>
              <w:t>for NR femto node if the NR femto node connects to CN directly</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DD1B13A" w:rsidR="00AF4F29" w:rsidRPr="005159C2" w:rsidRDefault="00813EB3" w:rsidP="007675E3">
            <w:pPr>
              <w:spacing w:after="0"/>
              <w:ind w:left="100"/>
              <w:rPr>
                <w:rFonts w:ascii="Arial" w:hAnsi="Arial"/>
                <w:noProof/>
              </w:rPr>
            </w:pPr>
            <w:r>
              <w:rPr>
                <w:rFonts w:ascii="Arial" w:hAnsi="Arial"/>
                <w:noProof/>
              </w:rPr>
              <w:t>4.10.2.2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19893B9" w14:textId="77777777" w:rsidR="00FD5DEB" w:rsidRPr="00FD5DEB" w:rsidRDefault="00FD5DEB" w:rsidP="00FD5DEB">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1" w:name="_CR8_7_1_1"/>
      <w:bookmarkStart w:id="2" w:name="_Toc219280723"/>
      <w:bookmarkStart w:id="3" w:name="_Toc210385136"/>
      <w:bookmarkStart w:id="4" w:name="_Toc45720122"/>
      <w:bookmarkStart w:id="5" w:name="_Toc45798002"/>
      <w:bookmarkStart w:id="6" w:name="_Toc45897391"/>
      <w:bookmarkStart w:id="7" w:name="_Toc51745591"/>
      <w:bookmarkStart w:id="8" w:name="_Toc99122932"/>
      <w:bookmarkStart w:id="9" w:name="_Toc106108601"/>
      <w:bookmarkStart w:id="10" w:name="_Toc99661735"/>
      <w:bookmarkStart w:id="11" w:name="_Toc64445855"/>
      <w:bookmarkStart w:id="12" w:name="_Toc105173602"/>
      <w:bookmarkStart w:id="13" w:name="_Toc88651814"/>
      <w:bookmarkStart w:id="14" w:name="_Toc97890857"/>
      <w:bookmarkStart w:id="15" w:name="_Toc73981725"/>
      <w:bookmarkStart w:id="16" w:name="_Toc105151796"/>
      <w:bookmarkStart w:id="17" w:name="_Toc106122506"/>
      <w:bookmarkStart w:id="18" w:name="_Toc107409059"/>
      <w:bookmarkStart w:id="19" w:name="_Toc112756248"/>
      <w:bookmarkStart w:id="20" w:name="_Toc162973036"/>
      <w:bookmarkStart w:id="21" w:name="_Toc99038644"/>
      <w:bookmarkStart w:id="22" w:name="_Toc146271210"/>
      <w:bookmarkStart w:id="23" w:name="_Toc99730907"/>
      <w:bookmarkStart w:id="24" w:name="_Toc105511036"/>
      <w:bookmarkStart w:id="25" w:name="_Toc99662548"/>
      <w:bookmarkStart w:id="26" w:name="_Toc105152626"/>
      <w:bookmarkStart w:id="27" w:name="_Toc105927568"/>
      <w:bookmarkStart w:id="28" w:name="_Toc113835545"/>
      <w:bookmarkStart w:id="29" w:name="_Toc105174432"/>
      <w:bookmarkStart w:id="30" w:name="_Toc120124393"/>
      <w:bookmarkStart w:id="31" w:name="_Toc99123742"/>
      <w:bookmarkStart w:id="32" w:name="_Toc155980731"/>
      <w:bookmarkStart w:id="33" w:name="_Toc106110108"/>
      <w:bookmarkStart w:id="34" w:name="_Toc162617552"/>
      <w:bookmarkStart w:id="35" w:name="_Toc162973933"/>
      <w:bookmarkStart w:id="36" w:name="_Hlk93841245"/>
      <w:bookmarkStart w:id="37" w:name="_Toc20955330"/>
      <w:bookmarkStart w:id="38" w:name="_Toc106109430"/>
      <w:bookmarkStart w:id="39" w:name="_Toc107409888"/>
      <w:bookmarkStart w:id="40" w:name="_Toc112757077"/>
      <w:bookmarkStart w:id="41" w:name="_Toc45898048"/>
      <w:bookmarkStart w:id="42" w:name="_Toc29504367"/>
      <w:bookmarkStart w:id="43" w:name="_Toc45652527"/>
      <w:bookmarkStart w:id="44" w:name="_Toc36555131"/>
      <w:bookmarkStart w:id="45" w:name="_Toc45658959"/>
      <w:bookmarkStart w:id="46" w:name="_Toc29503783"/>
      <w:bookmarkStart w:id="47" w:name="_Toc45720779"/>
      <w:bookmarkStart w:id="48" w:name="_Toc29504951"/>
      <w:bookmarkStart w:id="49" w:name="_Toc36553404"/>
      <w:bookmarkStart w:id="50" w:name="_Toc45798659"/>
      <w:bookmarkStart w:id="51" w:name="_Toc51746255"/>
      <w:bookmarkStart w:id="52" w:name="_Toc64446520"/>
      <w:bookmarkStart w:id="53" w:name="_Toc73982390"/>
      <w:bookmarkStart w:id="54" w:name="_Toc88652480"/>
      <w:bookmarkStart w:id="55" w:name="_Toc97891524"/>
      <w:bookmarkStart w:id="56" w:name="_Toc107409861"/>
      <w:bookmarkStart w:id="57" w:name="_Toc99123715"/>
      <w:bookmarkStart w:id="58" w:name="_Toc99662521"/>
      <w:bookmarkStart w:id="59" w:name="_Toc105152599"/>
      <w:bookmarkStart w:id="60" w:name="_Toc105174405"/>
      <w:bookmarkStart w:id="61" w:name="_Toc106109403"/>
      <w:bookmarkStart w:id="62" w:name="_Toc112757050"/>
      <w:bookmarkStart w:id="63" w:name="_Toc162973906"/>
      <w:bookmarkStart w:id="64" w:name="_Toc20402631"/>
      <w:bookmarkStart w:id="65" w:name="_Toc29372137"/>
      <w:bookmarkStart w:id="66" w:name="_Toc52490622"/>
      <w:bookmarkStart w:id="67" w:name="_Toc37760075"/>
      <w:bookmarkStart w:id="68" w:name="_Toc46498309"/>
      <w:bookmarkStart w:id="69" w:name="_Toc20954848"/>
      <w:bookmarkStart w:id="70" w:name="_Toc29503285"/>
      <w:bookmarkStart w:id="71" w:name="_Toc109127362"/>
      <w:bookmarkStart w:id="72" w:name="_Toc29503869"/>
      <w:bookmarkStart w:id="73" w:name="_Toc29504453"/>
      <w:bookmarkStart w:id="74" w:name="_Toc36552899"/>
      <w:bookmarkStart w:id="75" w:name="_Toc36554626"/>
      <w:bookmarkStart w:id="76" w:name="_Toc45651879"/>
      <w:bookmarkStart w:id="77" w:name="_Toc51745600"/>
      <w:bookmarkStart w:id="78" w:name="_Toc64445864"/>
      <w:bookmarkStart w:id="79" w:name="_Toc45658311"/>
      <w:bookmarkStart w:id="80" w:name="_Toc45720131"/>
      <w:bookmarkStart w:id="81" w:name="_Toc45798011"/>
      <w:bookmarkStart w:id="82" w:name="_Toc45897400"/>
      <w:bookmarkStart w:id="83" w:name="_Toc97890866"/>
      <w:bookmarkStart w:id="84" w:name="_Toc99122941"/>
      <w:bookmarkStart w:id="85" w:name="_Toc99661744"/>
      <w:bookmarkStart w:id="86" w:name="_Toc73981734"/>
      <w:bookmarkStart w:id="87" w:name="_Toc88651823"/>
      <w:bookmarkStart w:id="88" w:name="_Toc106108610"/>
      <w:bookmarkStart w:id="89" w:name="_Toc106122515"/>
      <w:bookmarkStart w:id="90" w:name="_Toc20954839"/>
      <w:bookmarkStart w:id="91" w:name="_Toc107409068"/>
      <w:bookmarkStart w:id="92" w:name="_Toc105151805"/>
      <w:bookmarkStart w:id="93" w:name="_Toc112756257"/>
      <w:bookmarkStart w:id="94" w:name="_Toc169664491"/>
      <w:bookmarkStart w:id="95" w:name="_Toc29503276"/>
      <w:bookmarkStart w:id="96" w:name="_Toc105173611"/>
      <w:bookmarkStart w:id="97" w:name="_Toc29504444"/>
      <w:bookmarkStart w:id="98" w:name="_Toc36554617"/>
      <w:bookmarkStart w:id="99" w:name="_Toc36552890"/>
      <w:bookmarkStart w:id="100" w:name="_Toc45658302"/>
      <w:bookmarkStart w:id="101" w:name="_Toc29503860"/>
      <w:bookmarkStart w:id="102" w:name="_Toc45651870"/>
      <w:bookmarkStart w:id="103" w:name="_Toc20954937"/>
      <w:bookmarkStart w:id="104" w:name="_Toc29503374"/>
      <w:bookmarkStart w:id="105" w:name="_Toc29503958"/>
      <w:bookmarkStart w:id="106" w:name="_Toc29504542"/>
      <w:bookmarkStart w:id="107" w:name="_Toc36552988"/>
      <w:bookmarkStart w:id="108" w:name="_Toc36554715"/>
      <w:bookmarkStart w:id="109" w:name="_Toc45652005"/>
      <w:bookmarkStart w:id="110" w:name="_Toc45658437"/>
      <w:bookmarkStart w:id="111" w:name="_Toc45720257"/>
      <w:bookmarkStart w:id="112" w:name="_Toc45798137"/>
      <w:bookmarkStart w:id="113" w:name="_Toc45897526"/>
      <w:bookmarkStart w:id="114" w:name="_Toc51745730"/>
      <w:bookmarkStart w:id="115" w:name="_Toc64445994"/>
      <w:bookmarkStart w:id="116" w:name="_Toc73981864"/>
      <w:bookmarkStart w:id="117" w:name="_Toc88651953"/>
      <w:bookmarkStart w:id="118" w:name="_Toc97890996"/>
      <w:bookmarkStart w:id="119" w:name="_Toc99123074"/>
      <w:bookmarkStart w:id="120" w:name="_Toc99661878"/>
      <w:bookmarkStart w:id="121" w:name="_Toc105151939"/>
      <w:bookmarkStart w:id="122" w:name="_Toc105173745"/>
      <w:bookmarkStart w:id="123" w:name="_Toc106108744"/>
      <w:bookmarkStart w:id="124" w:name="_Toc106122649"/>
      <w:bookmarkStart w:id="125" w:name="_Toc107409202"/>
      <w:bookmarkStart w:id="126" w:name="_Toc112756391"/>
      <w:bookmarkStart w:id="127" w:name="_Toc169664635"/>
      <w:bookmarkEnd w:id="1"/>
      <w:r w:rsidRPr="00FD5DEB">
        <w:rPr>
          <w:rFonts w:ascii="Arial" w:eastAsia="Times New Roman" w:hAnsi="Arial"/>
          <w:sz w:val="24"/>
          <w:lang w:eastAsia="zh-CN"/>
        </w:rPr>
        <w:t>4.10.2.2</w:t>
      </w:r>
      <w:r w:rsidRPr="00FD5DEB">
        <w:rPr>
          <w:rFonts w:ascii="Arial" w:eastAsia="Times New Roman" w:hAnsi="Arial"/>
          <w:sz w:val="24"/>
          <w:lang w:eastAsia="zh-CN"/>
        </w:rPr>
        <w:tab/>
        <w:t>AMF</w:t>
      </w:r>
      <w:bookmarkEnd w:id="2"/>
    </w:p>
    <w:p w14:paraId="2567CCF1" w14:textId="77777777" w:rsidR="00FD5DEB" w:rsidRPr="00FD5DEB" w:rsidRDefault="00FD5DEB" w:rsidP="00FD5DEB">
      <w:pPr>
        <w:overflowPunct w:val="0"/>
        <w:autoSpaceDE w:val="0"/>
        <w:autoSpaceDN w:val="0"/>
        <w:adjustRightInd w:val="0"/>
        <w:rPr>
          <w:rFonts w:eastAsia="Times New Roman"/>
          <w:lang w:eastAsia="zh-CN"/>
        </w:rPr>
      </w:pPr>
      <w:r w:rsidRPr="00FD5DEB">
        <w:rPr>
          <w:rFonts w:eastAsia="等线"/>
          <w:lang w:eastAsia="zh-CN"/>
        </w:rPr>
        <w:t>In addition to functions specified in clauses 4.1 and 16.7, the AMF hosts the following functions:</w:t>
      </w:r>
    </w:p>
    <w:p w14:paraId="1A2E0964" w14:textId="77777777" w:rsidR="00FD5DEB" w:rsidRPr="00FD5DEB" w:rsidRDefault="00FD5DEB" w:rsidP="00FD5DEB">
      <w:pPr>
        <w:overflowPunct w:val="0"/>
        <w:autoSpaceDE w:val="0"/>
        <w:autoSpaceDN w:val="0"/>
        <w:adjustRightInd w:val="0"/>
        <w:ind w:left="568"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case of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connected to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732AF643"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Routing of handover messages, </w:t>
      </w:r>
      <w:r w:rsidRPr="00FD5DEB">
        <w:rPr>
          <w:rFonts w:eastAsia="等线"/>
          <w:caps/>
          <w:lang w:val="en-US" w:eastAsia="zh-CN"/>
        </w:rPr>
        <w:t>Downlink RAN Configuration Transfer</w:t>
      </w:r>
      <w:r w:rsidRPr="00FD5DEB">
        <w:rPr>
          <w:rFonts w:eastAsia="等线"/>
          <w:lang w:val="en-US" w:eastAsia="zh-CN"/>
        </w:rPr>
        <w:t xml:space="preserve"> message </w:t>
      </w:r>
      <w:r w:rsidRPr="00FD5DEB">
        <w:rPr>
          <w:rFonts w:eastAsia="Times New Roman"/>
          <w:lang w:val="en-US" w:eastAsia="zh-CN"/>
        </w:rPr>
        <w:t xml:space="preserve">and DOWNLINK RIM INFORMATION TRANSFER message </w:t>
      </w:r>
      <w:r w:rsidRPr="00FD5DEB">
        <w:rPr>
          <w:rFonts w:eastAsia="等线"/>
          <w:lang w:val="en-US" w:eastAsia="zh-CN"/>
        </w:rPr>
        <w:t xml:space="preserve">towards </w:t>
      </w:r>
      <w:r w:rsidRPr="00FD5DEB">
        <w:rPr>
          <w:rFonts w:eastAsia="Times New Roman"/>
          <w:lang w:val="en-US" w:eastAsia="zh-CN"/>
        </w:rPr>
        <w:t xml:space="preserve">the appropriate </w:t>
      </w:r>
      <w:r w:rsidRPr="00FD5DEB">
        <w:rPr>
          <w:rFonts w:eastAsia="等线"/>
          <w:lang w:val="en-US" w:eastAsia="zh-CN"/>
        </w:rPr>
        <w:t xml:space="preserve">NR </w:t>
      </w:r>
      <w:proofErr w:type="spellStart"/>
      <w:r w:rsidRPr="00FD5DEB">
        <w:rPr>
          <w:rFonts w:eastAsia="等线"/>
          <w:lang w:val="en-US" w:eastAsia="zh-CN"/>
        </w:rPr>
        <w:t>Femto</w:t>
      </w:r>
      <w:proofErr w:type="spellEnd"/>
      <w:r w:rsidRPr="00FD5DEB">
        <w:rPr>
          <w:rFonts w:eastAsia="等线"/>
          <w:lang w:val="en-US" w:eastAsia="zh-CN"/>
        </w:rPr>
        <w:t xml:space="preserve"> GW based on the </w:t>
      </w:r>
      <w:r w:rsidRPr="00FD5DEB">
        <w:rPr>
          <w:rFonts w:eastAsia="Times New Roman"/>
          <w:lang w:val="en-US" w:eastAsia="zh-CN"/>
        </w:rPr>
        <w:t xml:space="preserve">received </w:t>
      </w:r>
      <w:r w:rsidRPr="00FD5DEB">
        <w:rPr>
          <w:rFonts w:eastAsia="等线"/>
          <w:lang w:val="en-US" w:eastAsia="zh-CN"/>
        </w:rPr>
        <w:t>Selected TAI.</w:t>
      </w:r>
    </w:p>
    <w:p w14:paraId="523661FC" w14:textId="77777777" w:rsidR="00FD5DEB" w:rsidRPr="00FD5DEB" w:rsidRDefault="00FD5DEB" w:rsidP="00FD5DEB">
      <w:pPr>
        <w:overflowPunct w:val="0"/>
        <w:autoSpaceDE w:val="0"/>
        <w:autoSpaceDN w:val="0"/>
        <w:adjustRightInd w:val="0"/>
        <w:ind w:left="851"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NG handover towards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including the Global RAN Node ID of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 the HANDOVER REQUEST message to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0B59E986" w14:textId="77777777" w:rsidR="00FD5DEB" w:rsidRPr="00FD5DEB" w:rsidRDefault="00FD5DEB" w:rsidP="00FD5DEB">
      <w:pPr>
        <w:overflowPunct w:val="0"/>
        <w:autoSpaceDE w:val="0"/>
        <w:autoSpaceDN w:val="0"/>
        <w:adjustRightInd w:val="0"/>
        <w:ind w:left="568" w:hanging="284"/>
        <w:rPr>
          <w:rFonts w:eastAsia="等线"/>
          <w:lang w:val="en-US" w:eastAsia="zh-CN"/>
        </w:rPr>
      </w:pPr>
      <w:r w:rsidRPr="00FD5DEB">
        <w:rPr>
          <w:rFonts w:eastAsia="等线"/>
          <w:lang w:val="en-US" w:eastAsia="zh-CN"/>
        </w:rPr>
        <w:t>-</w:t>
      </w:r>
      <w:r w:rsidRPr="00FD5DEB">
        <w:rPr>
          <w:rFonts w:eastAsia="等线"/>
          <w:lang w:val="en-US" w:eastAsia="zh-CN"/>
        </w:rPr>
        <w:tab/>
        <w:t xml:space="preserve">In case of an NR </w:t>
      </w:r>
      <w:proofErr w:type="spellStart"/>
      <w:r w:rsidRPr="00FD5DEB">
        <w:rPr>
          <w:rFonts w:eastAsia="等线"/>
          <w:lang w:val="en-US" w:eastAsia="zh-CN"/>
        </w:rPr>
        <w:t>Femto</w:t>
      </w:r>
      <w:proofErr w:type="spellEnd"/>
      <w:r w:rsidRPr="00FD5DEB">
        <w:rPr>
          <w:rFonts w:eastAsia="等线"/>
          <w:lang w:val="en-US" w:eastAsia="zh-CN"/>
        </w:rPr>
        <w:t xml:space="preserve"> node directly connected to an AMF:</w:t>
      </w:r>
    </w:p>
    <w:p w14:paraId="13607F84" w14:textId="1D681EC5"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NG Setup, verifying, as defined in TS 33.545 [70], that the identity used by the NR </w:t>
      </w:r>
      <w:proofErr w:type="spellStart"/>
      <w:r w:rsidRPr="00FD5DEB">
        <w:rPr>
          <w:rFonts w:eastAsia="等线"/>
          <w:lang w:val="en-US" w:eastAsia="zh-CN"/>
        </w:rPr>
        <w:t>Femto</w:t>
      </w:r>
      <w:proofErr w:type="spellEnd"/>
      <w:r w:rsidRPr="00FD5DEB">
        <w:rPr>
          <w:rFonts w:eastAsia="等线"/>
          <w:lang w:val="en-US" w:eastAsia="zh-CN"/>
        </w:rPr>
        <w:t xml:space="preserve"> node is valid</w:t>
      </w:r>
      <w:ins w:id="128" w:author="Huawei" w:date="2026-01-09T17:00:00Z">
        <w:r>
          <w:rPr>
            <w:rFonts w:eastAsia="等线"/>
          </w:rPr>
          <w:t xml:space="preserve">, if the NG SETUP REQUEST contains </w:t>
        </w:r>
        <w:r w:rsidRPr="00FC53DD">
          <w:rPr>
            <w:rFonts w:eastAsia="等线"/>
            <w:i/>
          </w:rPr>
          <w:t xml:space="preserve">NR </w:t>
        </w:r>
        <w:proofErr w:type="spellStart"/>
        <w:r w:rsidRPr="00FC53DD">
          <w:rPr>
            <w:rFonts w:eastAsia="等线"/>
            <w:i/>
          </w:rPr>
          <w:t>Femto</w:t>
        </w:r>
        <w:proofErr w:type="spellEnd"/>
        <w:r w:rsidRPr="00FC53DD">
          <w:rPr>
            <w:rFonts w:eastAsia="等线"/>
            <w:i/>
          </w:rPr>
          <w:t xml:space="preserve"> Indication</w:t>
        </w:r>
        <w:r>
          <w:rPr>
            <w:rFonts w:eastAsia="等线"/>
          </w:rPr>
          <w:t xml:space="preserve"> IE</w:t>
        </w:r>
      </w:ins>
      <w:r w:rsidRPr="00FD5DEB">
        <w:rPr>
          <w:rFonts w:eastAsia="等线"/>
          <w:lang w:val="en-US" w:eastAsia="zh-CN"/>
        </w:rPr>
        <w:t>.</w:t>
      </w:r>
    </w:p>
    <w:p w14:paraId="7808A984"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Initial UE Message and NG Handover procedures, verifying, as defined in TS 33.545 [70], that the reported CAG ID list is valid for the indicated cell of the NR </w:t>
      </w:r>
      <w:proofErr w:type="spellStart"/>
      <w:r w:rsidRPr="00FD5DEB">
        <w:rPr>
          <w:rFonts w:eastAsia="等线"/>
          <w:lang w:val="en-US" w:eastAsia="zh-CN"/>
        </w:rPr>
        <w:t>Femto</w:t>
      </w:r>
      <w:proofErr w:type="spellEnd"/>
      <w:r w:rsidRPr="00FD5DEB">
        <w:rPr>
          <w:rFonts w:eastAsia="等线"/>
          <w:lang w:val="en-US" w:eastAsia="zh-CN"/>
        </w:rPr>
        <w:t xml:space="preserve"> node.</w:t>
      </w:r>
    </w:p>
    <w:p w14:paraId="7F5C207D"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At NG PWS Restart Indication and PWS Failure Indication, verifying, as defined in TS 33.545 [70], that the indicated cell identity is valid.</w:t>
      </w:r>
    </w:p>
    <w:bookmarkEnd w:id="3"/>
    <w:p w14:paraId="63EB8CA2" w14:textId="77777777" w:rsidR="000C43E7" w:rsidRDefault="000C43E7" w:rsidP="000C43E7">
      <w:pPr>
        <w:pStyle w:val="B3"/>
        <w:ind w:left="0" w:firstLine="0"/>
        <w:rPr>
          <w:b/>
          <w:highlight w:val="yellow"/>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4AA96B7" w14:textId="1EA8457D" w:rsidR="00106516" w:rsidRDefault="00106516" w:rsidP="001065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A819517" w14:textId="0BB36DB0" w:rsidR="005E0D78" w:rsidRPr="00BA01B3" w:rsidRDefault="005E0D78" w:rsidP="005E0D78">
      <w:pPr>
        <w:rPr>
          <w:lang w:val="en-US"/>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5FC739B3" w14:textId="292C1864" w:rsidR="0098620E" w:rsidRPr="001D2E49" w:rsidRDefault="0098620E" w:rsidP="0098620E"/>
    <w:sectPr w:rsidR="0098620E" w:rsidRPr="001D2E49" w:rsidSect="00106516">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1274" w14:textId="77777777" w:rsidR="00416E7A" w:rsidRDefault="00416E7A">
      <w:pPr>
        <w:spacing w:after="0"/>
      </w:pPr>
      <w:r>
        <w:separator/>
      </w:r>
    </w:p>
  </w:endnote>
  <w:endnote w:type="continuationSeparator" w:id="0">
    <w:p w14:paraId="08B9092C" w14:textId="77777777" w:rsidR="00416E7A" w:rsidRDefault="00416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CC45D" w14:textId="77777777" w:rsidR="00416E7A" w:rsidRDefault="00416E7A">
      <w:pPr>
        <w:spacing w:after="0"/>
      </w:pPr>
      <w:r>
        <w:separator/>
      </w:r>
    </w:p>
  </w:footnote>
  <w:footnote w:type="continuationSeparator" w:id="0">
    <w:p w14:paraId="3B45704A" w14:textId="77777777" w:rsidR="00416E7A" w:rsidRDefault="00416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9E5A64" w:rsidRDefault="009E5A6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F"/>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1E91"/>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976BF"/>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28E9"/>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740"/>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C4E"/>
    <w:rsid w:val="00211F17"/>
    <w:rsid w:val="002126D7"/>
    <w:rsid w:val="00212702"/>
    <w:rsid w:val="002128FB"/>
    <w:rsid w:val="00214803"/>
    <w:rsid w:val="00215A76"/>
    <w:rsid w:val="00217281"/>
    <w:rsid w:val="00217D3E"/>
    <w:rsid w:val="002205C9"/>
    <w:rsid w:val="002218D6"/>
    <w:rsid w:val="00221DCD"/>
    <w:rsid w:val="0022234E"/>
    <w:rsid w:val="00223B11"/>
    <w:rsid w:val="002245F2"/>
    <w:rsid w:val="00226064"/>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66C19"/>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143A"/>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6E7A"/>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3EED"/>
    <w:rsid w:val="005C4D70"/>
    <w:rsid w:val="005D12AB"/>
    <w:rsid w:val="005D17F2"/>
    <w:rsid w:val="005D19F5"/>
    <w:rsid w:val="005D2E97"/>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6A6"/>
    <w:rsid w:val="00657959"/>
    <w:rsid w:val="00670BF3"/>
    <w:rsid w:val="00672693"/>
    <w:rsid w:val="00675812"/>
    <w:rsid w:val="006760A7"/>
    <w:rsid w:val="006804C7"/>
    <w:rsid w:val="0068247B"/>
    <w:rsid w:val="006838AC"/>
    <w:rsid w:val="006848B8"/>
    <w:rsid w:val="00686FED"/>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0104"/>
    <w:rsid w:val="006F39A3"/>
    <w:rsid w:val="006F4D9C"/>
    <w:rsid w:val="006F4F4A"/>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1C5B"/>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3FE"/>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3EB3"/>
    <w:rsid w:val="0081698F"/>
    <w:rsid w:val="00822030"/>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088"/>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1DBA"/>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B7C16"/>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57B8"/>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526"/>
    <w:rsid w:val="00C85E4E"/>
    <w:rsid w:val="00C86487"/>
    <w:rsid w:val="00C867AE"/>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1E6D"/>
    <w:rsid w:val="00D82767"/>
    <w:rsid w:val="00D83AC6"/>
    <w:rsid w:val="00D84205"/>
    <w:rsid w:val="00D843D3"/>
    <w:rsid w:val="00D850A9"/>
    <w:rsid w:val="00D86196"/>
    <w:rsid w:val="00D8717F"/>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1F57"/>
    <w:rsid w:val="00E42B53"/>
    <w:rsid w:val="00E4470E"/>
    <w:rsid w:val="00E521BD"/>
    <w:rsid w:val="00E525CA"/>
    <w:rsid w:val="00E526BE"/>
    <w:rsid w:val="00E52D04"/>
    <w:rsid w:val="00E53CA7"/>
    <w:rsid w:val="00E56122"/>
    <w:rsid w:val="00E5776F"/>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4911"/>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D5DE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43E7"/>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780317">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 w:id="202219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22F7-08AC-429F-9302-A49C6D1139C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572</Words>
  <Characters>3265</Characters>
  <Application>Microsoft Office Word</Application>
  <DocSecurity>0</DocSecurity>
  <Lines>27</Lines>
  <Paragraphs>7</Paragraphs>
  <ScaleCrop>false</ScaleCrop>
  <Company>3GPP Support Team</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Huawei-Yuanping</cp:lastModifiedBy>
  <cp:revision>2</cp:revision>
  <cp:lastPrinted>2411-12-31T15:59:00Z</cp:lastPrinted>
  <dcterms:created xsi:type="dcterms:W3CDTF">2026-01-29T10:59:00Z</dcterms:created>
  <dcterms:modified xsi:type="dcterms:W3CDTF">2026-01-29T10:59:00Z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